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297</w:t>
      </w:r>
    </w:p>
    <w:p>
      <w:r>
        <w:t>Bundesgericht (BGE), 2001-06-19, DE</w:t>
      </w:r>
    </w:p>
    <w:p>
      <w:r>
        <w:rPr>
          <w:b/>
        </w:rPr>
        <w:t xml:space="preserve">Quelle: </w:t>
      </w:r>
      <w:r>
        <w:t>https://mcp.opencaselaw.ch/entscheid/bge_127 II 297</w:t>
      </w:r>
    </w:p>
    <w:p>
      <w:r>
        <w:t>FR: ATF 127 II 297</w:t>
      </w:r>
    </w:p>
    <w:p>
      <w:r>
        <w:t>IT: DTF 127 II 297</w:t>
      </w:r>
    </w:p>
    <w:p>
      <w:pPr>
        <w:pStyle w:val="Heading2"/>
      </w:pPr>
      <w:r>
        <w:t>Regeste</w:t>
      </w:r>
    </w:p>
    <w:p>
      <w:r>
        <w:t>Regeste Art. 17 Abs. 1 lit. c SVG; Unterschreitung der gesetzlichen Mindestentzugsdauer von sechs Monaten. Die gesetzliche Mindestentzugsdauer für Führerausweise von sechs Monaten gemäss Art. 17 Abs. 1 lit. c SVG kann unterschritten werden, wenn seit dem massnahmeauslösenden Ereignis verhältnismässig viel Zeit verstrichen ist, der fehlbare Lenker die lange Verfahrensdauer nicht verschuldet und sich in dieser Zeit wohl verhalten hat.</w:t>
      </w:r>
    </w:p>
    <w:p>
      <w:pPr>
        <w:pStyle w:val="Heading2"/>
      </w:pPr>
      <w:r>
        <w:t>Erwägungen</w:t>
      </w:r>
    </w:p>
    <w:p>
      <w:r>
        <w:rPr>
          <w:b/>
        </w:rPr>
        <w:t>E. 2</w:t>
      </w:r>
    </w:p>
    <w:p>
      <w:r>
        <w:t>a)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 BGE 127 II 297 S. 299 b) Der Sachverhalt wird von keinem der Beschwerdeführer angefochten. Es steht somit fest, dass der Beschwerdeführer 2 am 11. Juni 1997 wegen Autofahrens im September und Oktober 1996 trotz Entzugs des Führerausweises schuldig gesprochen worden ist. Weil die Strafverfolgungsbehörden dieses Urteil den Administrativbehörden erst am 7. September 2000 auf eine zweite Aufforderung hin mitteilten, konnte das Administrativverfahren erst am 15. Dezember 2000 abgeschlossen werden. Fest steht damit auch, dass der Beschwerdeführer 2 die mehr als dreijährige Verfahrensverzögerung, die ausschliesslich auf einen Fehler innerhalb der staatlichen Verwaltung zurückzuführen ist, nicht zu vertreten hat.</w:t>
      </w:r>
    </w:p>
    <w:p>
      <w:r>
        <w:rPr>
          <w:b/>
        </w:rPr>
        <w:t>E. 3</w:t>
      </w:r>
    </w:p>
    <w:p>
      <w:r>
        <w:t>a) Gemäss Art. 17 Abs. 1 lit. c SVG (SR 741.01) ist der Führerausweis für mindestens sechs Monate zu entziehen, wenn eine Person ein Fahrzeug lenkt, obwohl ihr der dafür erforderliche Führerausweis entzogen worden ist. Dieser Sachverhalt ist in casu erfüllt. Es stellt sich somit die Frage, ob die Vorinstanz Bundesrecht verletzte, indem sie die gesetzliche Mindestentzugsdauer von sechs Monaten unterschritten hat. b) Die Vorinstanz geht unter Hinweis auf die bundesgerichtliche Rechtsprechung davon aus, dass die gesetzliche Mindestentzugsdauer unter folgenden kumulativen Voraussetzungen unterschritten werden dürfe: Zwischen dem massnahmeauslösenden Ereignis und der Massnahmeverfügung müsse relativ viel Zeit verstrichen sein, den Beschwerdeführer dürfe keine Schuld an der langen Verfahrensdauer treffen, und der Beschwerdeführer müsse sich in dieser Zeit wohl verhalten haben. Da diese Voraussetzungen in casu erfüllt seien, könne die gesetzliche Minimalfrist unterschritten werden. Der Beschwerdeführer 2 teilt diese Auffassung. c) Das beschwerdeführende Amt wendet mit seiner Eingabe dagegen ein, dass Ausnahmen von der gesetzlichen Minimalfrist nur unter restriktiven Bedingungen zuzulassen seien. Das Bundesgericht habe Ausnahmen nur bei einer Verfahrensdauer von fünfeinhalb und mehr Jahren zugelassen. Vorliegend habe die Dauer zwischen dem massnahmeauslösenden Ereignis und dem letztinstanzlichen kantonalen Entscheid vier Jahre und fünf Monate betragen, weshalb sich ein Unterschreiten der Grenze von sechs Monaten nicht rechtfertige. Im Übrigen habe sich der Beschwerdeführer auch widersprüchlich verhalten: Er habe nach Rechtskraft des Strafurteils gewusst, dass ihm zusätzlich ein Führerausweisentzug drohe und dass das entsprechende Verfahren fortzusetzen wäre. Zwar habe er keine Pflicht gehabt, den Strafentscheid der Administrativbehörde selbst mitzuteilen, BGE 127 II 297 S. 300 doch handle widersprüchlich, wer die Zeit verstreichen lasse und sich anschliessend auf die überlange Verfahrensdauer berufe. Solches Verhalten verdiene keinen Schutz. d) Unter den von der Vorinstanz in Übereinstimmung mit der bundesgerichtlichen Rechtsprechung genannten Voraussetzungen kann die gesetzliche Minimaldauer von sechs Monaten gemäss Art. 17 Abs. 1 lit. c SVG unterschritten werden. Fest steht, dass zwischen dem massnahmeauslösenden Ereignis und dem letztinstanzlichen kantonalen Entscheid rund viereinhalb Jahre verstrichen sind, dass sich der Beschwerdeführer seither wohl verhalten hat und dass ihn keine Schuld an der langen Verfahrensdauer trifft. Strittig ist allein, ob die Verfahrensdauer von rund viereinhalb Jahren das Unterschreiten der gesetzlichen Limite von sechs Monaten Führerausweisentzug rechtfertigen kann. Das Bundesgericht hat seine Rechtsprechung in BGE 120 Ib 504 (vgl. dort, mit Hinweisen; bestätigt mit BGE 122 II 180 ) mit den folgenden beiden wesentlichen Motiven begründet: Der Warnungsentzug sei eine Administrativmassnahme mit erzieherischem Charakter; ausserdem weise er eine gewisse Strafähnlichkeit auf. Beide Charakteristika sprechen für eine Milderung der Sanktion, wenn seit dem massnahmeauslösenden Ereignis viel Zeit verstrichen ist. Die Erziehung und Besserung eines Täters setzt voraus, dass die Massnahme in einem angemessenen zeitlichen Zusammenhang mit der sanktionierten Regelverletzung steht. Ausserdem wird mit dem Zeitablauf die Erforderlichkeit einer erzieherischen Sanktion relativiert, wenn sich der Täter in dieser Zeit wohl verhalten hat. Insofern ein Warnungsentzug strafähnlich ist, sind die strafrechtlichen Verjährungsregeln sinngemäss beizuziehen, weil das SVG die Verjährung für diese Massnahme nicht regelt; die lückenhafte gesetzliche Regelung könnte andernfalls zu unerträglichen Härtefällen führen (vgl. BGE 120 Ib 504 E. 4d). Welche Verfahrensdauer als überlang zu gelten hat, lässt sich nicht abstrakt und in absoluten Zahlen ausdrücken. Für die Beantwortung der Frage sind die konkreten Umstände des Einzelfalles zu berücksichtigen. In seiner bisherigen Rechtsprechung hat das Bundesgericht eine überlange Verfahrensdauer bei fünfeinhalb oder mehr Jahren angenommen. Dem Entscheid BGE 120 Ib 504 , bei dem eine fünfeinhalbjährige Verfahrensdauer als überlang qualifiziert wurde, lag ein Sachverhalt zugrunde, der zu einer Bestrafung wegen grober Verkehrsregelverletzung geführt hatte. Die strafrechtliche Verjährungsfrist für das Vergehen der groben Verkehrsregelverletzung BGE 127 II 297 S. 301 beträgt fünf bzw. siebeneinhalb Jahre. In casu liegt lediglich eine Übertretung vor ( Art. 95 Ziff. 2 SVG ); die strafrechtliche Verjährungsfrist beträgt mithin zwei Jahre. Bereits aus diesem Grund unterscheidet sich der vorliegende Fall wesentlich vom Sachverhalt des zitierten Entscheides, weshalb vorliegend nicht erst eine Verfahrensdauer von fünfeinhalb Jahren als überlang bezeichnet werden kann. Es wäre stossend, wenn eine volle verwaltungsrechtliche Sanktion mit strafähnlichem Charakter angeordnet würde, obwohl das sanktionierte Verhalten unter strafrechtlichem Gesichtspunkt bereits verjährt ist. Im vorliegenden Fall kommt hinzu, dass die Verfahrensdauer von rund viereinhalb Jahren darauf zurückzuführen ist, dass die Verfahrensakten während drei Jahren und zwei Monaten wegen eines Fehlers der Strafverfolgungsbehörden unbearbeitet liegen geblieben sind. Während im Entscheid BGE 120 Ib 504 die lange Verfahrensdauer vom Beschwerdeführer zwar nicht verschuldet, aber doch mit der Ergreifung eines Rechtsmittels mitverursacht worden ist, liegen die Umstände in casu auch in dieser Hinsicht anders: Der Beschwerdeführer 2 hat das ein halbes Jahr nach Verfahrenseröffnung ergangene Strafurteil angenommen. Einer zügigen Abwicklung des Administrativverfahrens hätte nichts entgegengestanden. Unbegründet ist die Rüge des Beschwerdeführers 1, wonach sich der Beschwerdeführer 2 widersprüchlich verhalten habe. Dieser hatte weder die Pflicht noch die Obliegenheit, das Administrativverfahren gegen sich selbst in Gang zu halten, indem er die zuständige Behörde über den Abschluss des Strafverfahrens hätte ins Bild setzen müssen. Deshalb ist es ihm unbenommen, sich auf die überlange Verfahrensdauer zu berufen. Dürfte er dies nicht, würde die Pflicht oder die Obliegenheit, ein Verfahren gegen sich selbst in Gang zu halten, indirekt statuiert. e) Demnach kann festgestellt werden, dass die Vorinstanz kein Bundesrecht verletzt hat, indem sie die gesetzliche Minimalfrist von sechs Monaten gemäss Art. 17 Abs. 1 lit. c SVG unterschritten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